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Пояснительная записка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                           «Игра не просто детская забава, но и животворный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                                            источник мышления, благородных чувств и стремлений …»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В.А.Сухомлинский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Подвижная игра – естественный спутник жизни ребёнка, источник радостных эмоций, обладающий великой воспитательной силой.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волю и стремление к победе.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Все свои жизненные впечатления и переживания дети отражают в условно – игровой форме, способствующей конкретному перевоплощению в образ («Гуси – лебеди», «Коршун и наседка», «У медведя во бору» и т.д.) Игровая ситуация увлекает и воспитывает ребёнка, а встречающиеся в некоторых играх зачины, диалоги непосредственно характеризуют персонажей т их действия, которые надо умело подчеркнуть в образе, что требует от детей активной умственной деятельности.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В народных играх много шуток, юмора, соревновательного задора; движения точны и образны, часто сопровождаются неожиданными весёлыми моментами, заманчивыми и любимыми детьми считалками, жеребьёвками. Они сохраняют свою художественную прелесть, эстетическое значение и составляют ценнейший, неповторимый игровой фольклор. Так, например, зачины являются как бы игровой прелюдией, дают возможность быстро организовать игроков, настроить их на объективный выбор водящего, безоговорочное и точное выполнение правил. Этому способствуют ритмичность, напевность или характерное скандирование считалок, предшествующих игре.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Помимо считалок, существуют и жеребьёвки, которые также создают эмоциональное настроение и увлекают самим процессом игры. Они применяются в тех случаях, когда детям необходимо разделиться на команды.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Основным  условием    успешного внедрения народных игр в жизнь школьников всегда было и остаётся глубокое знание и свободное владение обширным игровым репертуаром, а также методикой педагогического руководства. Учитель, творчески используя игру как эмоционально – образное средство влияния на детей, пробуждает у них интерес , воображение, добиваясь активного выполнения игровых действий.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В ходе игры педагог привлекает внимание ребят к её содержанию, следит за точностью движений, которые должны соответствовать правилам, за дозировкой физической нагрузки, делает краткие указания, поддерживает и регулирует эмоционально – положительное настроение и взаимоотношения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и при этом испытывать радость. Одним словом, задача педагога заключается в том, чтобы научить детей самостоятельно и с удовольствием играть.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Оздоровительное значение подвижных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     Правильно организованные подвижные игры   оказывают  благотворное влияние на рост, развитие и укрепление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костно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связочного аппарата, мышечной системы, на формирование правильной осанки детей и подростков. Большое значение  имеют подвижные игры, вовлекающие в разнообразную, преимущественно динамическую работу, в которой развиваются крупные и мелкие мышцы тела.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Игра как средство воспитания.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  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чувств: любви к Родине, её культуре и наследию. По содержанию все народные игры классически лаконичны, выразительны и доступны детям.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  Использование  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       Цель программы: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развитие творческих способностей детей, приобщение детей к культуре народов России через наиболее распространённые игры народов нашей страны, укрепление здоровья, содействие гармоническому физическому развитию, воспитание познавательной активности, интереса и инициативы, культуры общения в учебной и игровой деятельности.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   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Задачи, решаемые в рамках данной программы: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уточнять представления учащихся об окружающем мире; вызвать активную работу мысли школьников, способствовать расширению их кругозора; содействовать формированию воли, сообразительности, ловкости, чувства коллективизма, слаженности действий, взаимопомощи («один за всех и все за одного»), ответственности, смелости, находчивости.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  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  Программа  изучается   два года  из расчёта 1 час в неделю (всего  70 ч).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Результаты освоения  программы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  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Учащиеся должны иметь представления: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 режиме дня и личной гигиене;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 способах изменения направления и скорости движения;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 народной игре как средстве подвижной игры;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об играх разных народов;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 соблюдении правил игры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Учащиеся должны научиться: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играть в подвижные игры;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самостоятельно объяснять сюжетную игру;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соблюдать правила игры;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соблюдать правила игры;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выполнять передвижения в ходьбе, беге, прыжках разными способами;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Ожидаемый результат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укрепление здоровья детей, формирование у них навыков здорового образа жизни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обобщение и углубление знаний об истории, культуре народных игр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развитие умений работать в коллективе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формирование у детей уверенности в своих силах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умение применять игры самостоятельно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Календарно – тематический план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 год обучения</w:t>
      </w:r>
    </w:p>
    <w:tbl>
      <w:tblPr>
        <w:tblW w:w="979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127"/>
        <w:gridCol w:w="4785"/>
        <w:gridCol w:w="2030"/>
        <w:gridCol w:w="890"/>
        <w:gridCol w:w="960"/>
      </w:tblGrid>
      <w:tr w:rsidR="00D00860" w:rsidTr="00D00860">
        <w:trPr>
          <w:trHeight w:val="4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0"/>
            <w:bookmarkStart w:id="1" w:name="4a07eeb3289fe5a017002c04f9900e0f1026d150"/>
            <w:bookmarkEnd w:id="0"/>
            <w:bookmarkEnd w:id="1"/>
            <w:r>
              <w:rPr>
                <w:rFonts w:ascii="Calibri" w:eastAsia="Times New Roman" w:hAnsi="Calibri" w:cs="Arial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  <w:r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Количество часов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Дата</w:t>
            </w:r>
          </w:p>
        </w:tc>
      </w:tr>
      <w:tr w:rsidR="00D00860" w:rsidTr="00D00860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План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Факт</w:t>
            </w: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Русские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Башкирские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Бурятские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Дагестанские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Мордовские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Чувашские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Игры народов Сибири и Дальнего Востока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9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Татарские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Русские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</w:tbl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Содержание тем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1.Введение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Знакомство учащихся с графиком работы кружка,  тематическим планом. Правила поведения. Роль подвижных игр в жизни детей и взрослых. Понятие о сюжете игры. Разучивание считалок, жеребьёвок.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2.Русские народные игры (5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«Обыкновенные жмурки», «Палочка – выручалочка», «Горелки», «Пятнашки» ( с вариантами), «Мячик кверху». Повторение и закрепление  разученных  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3.Башкирские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«Юрта», «Медный пень», «Палка – </w:t>
      </w:r>
      <w:proofErr w:type="spellStart"/>
      <w:r>
        <w:rPr>
          <w:rFonts w:ascii="Calibri" w:eastAsia="Times New Roman" w:hAnsi="Calibri" w:cs="Times New Roman"/>
          <w:color w:val="000000"/>
        </w:rPr>
        <w:t>кидалка</w:t>
      </w:r>
      <w:proofErr w:type="spellEnd"/>
      <w:r>
        <w:rPr>
          <w:rFonts w:ascii="Calibri" w:eastAsia="Times New Roman" w:hAnsi="Calibri" w:cs="Times New Roman"/>
          <w:color w:val="000000"/>
        </w:rPr>
        <w:t>», «Липкие пеньки». Повторение и закрепление  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4.Бурятские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«Табун», «Иголка, нитка и узелок», «Волк и ягнята», «Ищем палочку». Повторение  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5.Дагестанские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«Выбей из круга», «Палочка – выручалочка», «Надень папаху», «Подними платок». Повторение 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6.Мордовские народные игры (4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«Котёл», «Салки», «Круговой», «Раю – раю». Повторение и закрепление  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7.Чувашские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«Хищник в море», «Рыбки», «Луна и Солнце». Повторение 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8.Игры народов Сибири и Дальнего Востока (4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«Солнце», «Каюр и собаки», «Олени и пастухи», «Ловля оленей». Повторение 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9.Татарские народные игры (4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«Продаём горшки», «Серый волк», «Скок – перескок», «Хлопушки», «Займи место», «</w:t>
      </w:r>
      <w:proofErr w:type="spellStart"/>
      <w:r>
        <w:rPr>
          <w:rFonts w:ascii="Calibri" w:eastAsia="Times New Roman" w:hAnsi="Calibri" w:cs="Times New Roman"/>
          <w:color w:val="000000"/>
        </w:rPr>
        <w:t>Ловишки</w:t>
      </w:r>
      <w:proofErr w:type="spellEnd"/>
      <w:r>
        <w:rPr>
          <w:rFonts w:ascii="Calibri" w:eastAsia="Times New Roman" w:hAnsi="Calibri" w:cs="Times New Roman"/>
          <w:color w:val="000000"/>
        </w:rPr>
        <w:t>». Повторение 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10.Русские народные игры (5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«Лапта», «Казаки – разбойники». Повторение и закрепление разученных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Календарно – тематический план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979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127"/>
        <w:gridCol w:w="4785"/>
        <w:gridCol w:w="2030"/>
        <w:gridCol w:w="890"/>
        <w:gridCol w:w="960"/>
      </w:tblGrid>
      <w:tr w:rsidR="00D00860" w:rsidTr="00D00860">
        <w:trPr>
          <w:trHeight w:val="4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1"/>
            <w:bookmarkStart w:id="3" w:name="4497af758a87f285644304a6c11908967b91fbca"/>
            <w:bookmarkEnd w:id="2"/>
            <w:bookmarkEnd w:id="3"/>
            <w:r>
              <w:rPr>
                <w:rFonts w:ascii="Calibri" w:eastAsia="Times New Roman" w:hAnsi="Calibri" w:cs="Arial"/>
                <w:color w:val="000000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  <w:r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Количество часов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Дата</w:t>
            </w:r>
          </w:p>
        </w:tc>
      </w:tr>
      <w:tr w:rsidR="00D00860" w:rsidTr="00D00860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860" w:rsidRDefault="00D0086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План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Факт</w:t>
            </w: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Русские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Белорусские  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Бурятские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lastRenderedPageBreak/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Дагестанские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Мордовские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Грузинские  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Азербайджанские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9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Татарские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  <w:tr w:rsidR="00D00860" w:rsidTr="00D00860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Русские 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860" w:rsidRDefault="00D00860">
            <w:pPr>
              <w:spacing w:after="0"/>
              <w:rPr>
                <w:rFonts w:cs="Times New Roman"/>
              </w:rPr>
            </w:pPr>
          </w:p>
        </w:tc>
      </w:tr>
    </w:tbl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Содержание тем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1.Введение.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Знакомство учащихся с графиком работы кружка,  тематическим планом. Правила поведения. Роль подвижных игр в жизни детей и взрослых. Разучивание считалок, жеребьёвок.  Повторение и закрепление разученных считалок, игр.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2.Русские народные игры ( 5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«Гуси», «Большой мяч», «Пчёлки и ласточка», «Петушиный бой».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3.Белорусские народные игры ( 3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«Хлоп, хлоп, убегай!», «Мельница», «Посадка картофеля», «Ленок».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4.Бурятские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«Ищем палочку».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5.Дагестанские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«Достать шапку», «Бег к реке».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6.Мордовские народные игры ( 4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«Салки».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7.Грузинские народные игры (3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«Захвати палку!», «Защитник», «Игра в колокол».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8 Азербайджанские народные игры (4 ч 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Со спины лошадки», «День и ночь», «Палочка – выручалочка».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9.Татарские народные игры (4 ч)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«Спутанные кони», «Угадай и догони», «Скок – перескок».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10.Русские народные игры ( 5 ч )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Повторение и закрепление разученных игр. «Лапта», «Казаки – разбойники».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Методическое и материальное обеспечение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    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              Методика работы с детьми строится в направлении личностно – 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сюжетных  заданий игр. Занятия содержат материал, соответствующий возрастным особенностям детей.  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              Занятия проводятся в школьном спортивном зале, на школьном стадионе, на сельских игровых площадках. Для реализации программы используются спортивные сооружения и спортивный инвентарь.</w:t>
      </w:r>
    </w:p>
    <w:p w:rsidR="00D00860" w:rsidRDefault="00D00860" w:rsidP="00D008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Список литературы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1.Осокина Т.И. «Детские подвижные игры народов», Москва «Просвещение», 2009.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2.Гришина В.С. «Румяные щёчки», Москва </w:t>
      </w:r>
      <w:proofErr w:type="spellStart"/>
      <w:r>
        <w:rPr>
          <w:rFonts w:ascii="Calibri" w:eastAsia="Times New Roman" w:hAnsi="Calibri" w:cs="Times New Roman"/>
          <w:color w:val="000000"/>
        </w:rPr>
        <w:t>ФиС</w:t>
      </w:r>
      <w:proofErr w:type="spellEnd"/>
      <w:r>
        <w:rPr>
          <w:rFonts w:ascii="Calibri" w:eastAsia="Times New Roman" w:hAnsi="Calibri" w:cs="Times New Roman"/>
          <w:color w:val="000000"/>
        </w:rPr>
        <w:t>, 2008.</w:t>
      </w:r>
    </w:p>
    <w:p w:rsidR="00D00860" w:rsidRDefault="00D00860" w:rsidP="00D008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3.Шевченко И.В. «Вместе весело играть», Ростов  - на – Дону «Феникс», 2002.</w:t>
      </w:r>
    </w:p>
    <w:p w:rsidR="00D00860" w:rsidRDefault="00D00860" w:rsidP="00D00860"/>
    <w:p w:rsidR="00676654" w:rsidRDefault="00676654"/>
    <w:sectPr w:rsidR="0067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860"/>
    <w:rsid w:val="00676654"/>
    <w:rsid w:val="00D0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2016-09-09T20:19:00Z</dcterms:created>
  <dcterms:modified xsi:type="dcterms:W3CDTF">2016-09-09T20:19:00Z</dcterms:modified>
</cp:coreProperties>
</file>